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11810" w14:textId="77777777" w:rsidR="00DB4CBA" w:rsidRDefault="00A855A4" w:rsidP="00DB4CBA">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REGISTRO SULLA GESTIONE DEI DIRITTI DEL SOGGETTO INTERESSATO</w:t>
      </w:r>
    </w:p>
    <w:p w14:paraId="53B52428" w14:textId="77777777" w:rsidR="00DB4CBA" w:rsidRDefault="00DB4CBA" w:rsidP="00DB4CBA">
      <w:pPr>
        <w:pStyle w:val="Nessunaspaziatura"/>
        <w:jc w:val="both"/>
        <w:rPr>
          <w:rFonts w:ascii="Trade Gothic LT Std Light" w:hAnsi="Trade Gothic LT Std Light"/>
          <w:b/>
          <w:sz w:val="18"/>
          <w:szCs w:val="18"/>
        </w:rPr>
      </w:pPr>
    </w:p>
    <w:p w14:paraId="67390698" w14:textId="753F45D5" w:rsidR="00A855A4" w:rsidRPr="00774B69" w:rsidRDefault="002C0759" w:rsidP="00DB4CBA">
      <w:pPr>
        <w:pStyle w:val="Nessunaspaziatura"/>
        <w:jc w:val="both"/>
        <w:rPr>
          <w:rFonts w:ascii="Trade Gothic LT Std Light" w:hAnsi="Trade Gothic LT Std Light"/>
          <w:b/>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3D5AD3">
        <w:rPr>
          <w:rFonts w:ascii="Trade Gothic LT Std Light" w:hAnsi="Trade Gothic LT Std Light"/>
          <w:sz w:val="18"/>
          <w:szCs w:val="18"/>
        </w:rPr>
        <w:t xml:space="preserve">, </w:t>
      </w:r>
      <w:r w:rsidR="00CD510B">
        <w:rPr>
          <w:rFonts w:ascii="Trade Gothic LT Std Light" w:hAnsi="Trade Gothic LT Std Light"/>
          <w:sz w:val="18"/>
          <w:szCs w:val="18"/>
        </w:rPr>
        <w:t>ha predisposto, n</w:t>
      </w:r>
      <w:r w:rsidR="00DB4CBA">
        <w:rPr>
          <w:rFonts w:ascii="Trade Gothic LT Std Light" w:hAnsi="Trade Gothic LT Std Light"/>
          <w:sz w:val="18"/>
          <w:szCs w:val="18"/>
        </w:rPr>
        <w:t>el rispetto del principio di accountability ex art. 5 paragrafo 2) del Regolamento UE n. 201</w:t>
      </w:r>
      <w:r w:rsidR="00423155">
        <w:rPr>
          <w:rFonts w:ascii="Trade Gothic LT Std Light" w:hAnsi="Trade Gothic LT Std Light"/>
          <w:sz w:val="18"/>
          <w:szCs w:val="18"/>
        </w:rPr>
        <w:t>6/679 (GDPR), il registro sulla gestione (e conseguente storicizzazione) del riscontro fornito, ai sensi dell’art. 12 del GDPR</w:t>
      </w:r>
      <w:r w:rsidR="00423155">
        <w:rPr>
          <w:rStyle w:val="Rimandonotaapidipagina"/>
          <w:rFonts w:ascii="Trade Gothic LT Std Light" w:hAnsi="Trade Gothic LT Std Light"/>
          <w:sz w:val="18"/>
          <w:szCs w:val="18"/>
        </w:rPr>
        <w:footnoteReference w:id="1"/>
      </w:r>
      <w:r w:rsidR="00423155">
        <w:rPr>
          <w:rFonts w:ascii="Trade Gothic LT Std Light" w:hAnsi="Trade Gothic LT Std Light"/>
          <w:sz w:val="18"/>
          <w:szCs w:val="18"/>
        </w:rPr>
        <w:t xml:space="preserve">, ad un istanza avente ad oggetto un (o più) diritto/i di cui al Capo III) del GDPR formulati da un soggetto interessato ex art. 4 n. 1) del GDPR.  </w:t>
      </w:r>
    </w:p>
    <w:p w14:paraId="11BEDCEC" w14:textId="77777777" w:rsidR="00A855A4" w:rsidRDefault="00A855A4" w:rsidP="00DB4CBA">
      <w:pPr>
        <w:pStyle w:val="Nessunaspaziatura"/>
        <w:jc w:val="both"/>
        <w:rPr>
          <w:rFonts w:ascii="Trade Gothic LT Std Light" w:hAnsi="Trade Gothic LT Std Light"/>
          <w:sz w:val="18"/>
          <w:szCs w:val="18"/>
        </w:rPr>
      </w:pPr>
    </w:p>
    <w:tbl>
      <w:tblPr>
        <w:tblStyle w:val="Grigliatabella"/>
        <w:tblW w:w="0" w:type="auto"/>
        <w:tblInd w:w="108" w:type="dxa"/>
        <w:tblLook w:val="04A0" w:firstRow="1" w:lastRow="0" w:firstColumn="1" w:lastColumn="0" w:noHBand="0" w:noVBand="1"/>
      </w:tblPr>
      <w:tblGrid>
        <w:gridCol w:w="2410"/>
        <w:gridCol w:w="1985"/>
        <w:gridCol w:w="2268"/>
        <w:gridCol w:w="2551"/>
        <w:gridCol w:w="1701"/>
        <w:gridCol w:w="3402"/>
      </w:tblGrid>
      <w:tr w:rsidR="003B3870" w14:paraId="72412897" w14:textId="77777777" w:rsidTr="00DA7BC3">
        <w:trPr>
          <w:trHeight w:val="1653"/>
        </w:trPr>
        <w:tc>
          <w:tcPr>
            <w:tcW w:w="2410" w:type="dxa"/>
            <w:shd w:val="clear" w:color="auto" w:fill="auto"/>
          </w:tcPr>
          <w:p w14:paraId="622E0C32" w14:textId="77777777" w:rsidR="003B3870" w:rsidRPr="00CC07A9" w:rsidRDefault="003B3870" w:rsidP="003B3870">
            <w:pPr>
              <w:pStyle w:val="Nessunaspaziatura"/>
              <w:jc w:val="center"/>
              <w:rPr>
                <w:rFonts w:ascii="Trade Gothic LT Std Light" w:hAnsi="Trade Gothic LT Std Light"/>
                <w:b/>
                <w:sz w:val="18"/>
                <w:szCs w:val="18"/>
              </w:rPr>
            </w:pPr>
          </w:p>
          <w:p w14:paraId="1B96B86D" w14:textId="77777777" w:rsidR="003B3870" w:rsidRPr="00CC07A9" w:rsidRDefault="003B3870" w:rsidP="003B3870">
            <w:pPr>
              <w:pStyle w:val="Nessunaspaziatura"/>
              <w:jc w:val="center"/>
              <w:rPr>
                <w:rFonts w:ascii="Trade Gothic LT Std Light" w:hAnsi="Trade Gothic LT Std Light"/>
                <w:b/>
                <w:sz w:val="18"/>
                <w:szCs w:val="18"/>
              </w:rPr>
            </w:pPr>
            <w:r w:rsidRPr="00CC07A9">
              <w:rPr>
                <w:rFonts w:ascii="Trade Gothic LT Std Light" w:hAnsi="Trade Gothic LT Std Light"/>
                <w:b/>
                <w:sz w:val="18"/>
                <w:szCs w:val="18"/>
              </w:rPr>
              <w:t>Soggetto interessato richiedente, ivi inclusa la preliminare procedura di identificazione, ove necessario</w:t>
            </w:r>
          </w:p>
        </w:tc>
        <w:tc>
          <w:tcPr>
            <w:tcW w:w="1985" w:type="dxa"/>
            <w:shd w:val="clear" w:color="auto" w:fill="auto"/>
          </w:tcPr>
          <w:p w14:paraId="002DF469" w14:textId="77777777" w:rsidR="003B3870" w:rsidRPr="00CC07A9" w:rsidRDefault="003B3870" w:rsidP="003B3870">
            <w:pPr>
              <w:pStyle w:val="Nessunaspaziatura"/>
              <w:jc w:val="center"/>
              <w:rPr>
                <w:rFonts w:ascii="Trade Gothic LT Std Light" w:hAnsi="Trade Gothic LT Std Light"/>
                <w:b/>
                <w:sz w:val="18"/>
                <w:szCs w:val="18"/>
              </w:rPr>
            </w:pPr>
          </w:p>
          <w:p w14:paraId="7E060634" w14:textId="77777777" w:rsidR="003B3870" w:rsidRPr="00CC07A9" w:rsidRDefault="003B3870" w:rsidP="003B3870">
            <w:pPr>
              <w:pStyle w:val="Nessunaspaziatura"/>
              <w:jc w:val="center"/>
              <w:rPr>
                <w:rFonts w:ascii="Trade Gothic LT Std Light" w:hAnsi="Trade Gothic LT Std Light"/>
                <w:b/>
                <w:sz w:val="18"/>
                <w:szCs w:val="18"/>
              </w:rPr>
            </w:pPr>
          </w:p>
          <w:p w14:paraId="48290396" w14:textId="77777777" w:rsidR="003B3870" w:rsidRPr="00CC07A9" w:rsidRDefault="003B3870" w:rsidP="003B3870">
            <w:pPr>
              <w:pStyle w:val="Nessunaspaziatura"/>
              <w:jc w:val="center"/>
              <w:rPr>
                <w:rFonts w:ascii="Trade Gothic LT Std Light" w:hAnsi="Trade Gothic LT Std Light"/>
                <w:b/>
                <w:sz w:val="18"/>
                <w:szCs w:val="18"/>
              </w:rPr>
            </w:pPr>
            <w:r w:rsidRPr="00CC07A9">
              <w:rPr>
                <w:rFonts w:ascii="Trade Gothic LT Std Light" w:hAnsi="Trade Gothic LT Std Light"/>
                <w:b/>
                <w:sz w:val="18"/>
                <w:szCs w:val="18"/>
              </w:rPr>
              <w:t>Data di ricezione della richiesta</w:t>
            </w:r>
          </w:p>
        </w:tc>
        <w:tc>
          <w:tcPr>
            <w:tcW w:w="2268" w:type="dxa"/>
            <w:shd w:val="clear" w:color="auto" w:fill="auto"/>
          </w:tcPr>
          <w:p w14:paraId="687B5BBE" w14:textId="77777777" w:rsidR="003B3870" w:rsidRPr="00CC07A9" w:rsidRDefault="003B3870" w:rsidP="003B3870">
            <w:pPr>
              <w:pStyle w:val="Nessunaspaziatura"/>
              <w:jc w:val="center"/>
              <w:rPr>
                <w:rFonts w:ascii="Trade Gothic LT Std Light" w:hAnsi="Trade Gothic LT Std Light"/>
                <w:b/>
                <w:sz w:val="18"/>
                <w:szCs w:val="18"/>
              </w:rPr>
            </w:pPr>
          </w:p>
          <w:p w14:paraId="5F7B8873" w14:textId="77777777" w:rsidR="003B3870" w:rsidRPr="00CC07A9" w:rsidRDefault="003B3870" w:rsidP="003B3870">
            <w:pPr>
              <w:pStyle w:val="Nessunaspaziatura"/>
              <w:jc w:val="center"/>
              <w:rPr>
                <w:rFonts w:ascii="Trade Gothic LT Std Light" w:hAnsi="Trade Gothic LT Std Light"/>
                <w:b/>
                <w:sz w:val="18"/>
                <w:szCs w:val="18"/>
              </w:rPr>
            </w:pPr>
          </w:p>
          <w:p w14:paraId="212E8A5B" w14:textId="77777777" w:rsidR="003B3870" w:rsidRPr="00CC07A9" w:rsidRDefault="003B3870" w:rsidP="003B3870">
            <w:pPr>
              <w:pStyle w:val="Nessunaspaziatura"/>
              <w:jc w:val="center"/>
              <w:rPr>
                <w:rFonts w:ascii="Trade Gothic LT Std Light" w:hAnsi="Trade Gothic LT Std Light"/>
                <w:b/>
                <w:sz w:val="18"/>
                <w:szCs w:val="18"/>
              </w:rPr>
            </w:pPr>
            <w:r w:rsidRPr="00CC07A9">
              <w:rPr>
                <w:rFonts w:ascii="Trade Gothic LT Std Light" w:hAnsi="Trade Gothic LT Std Light"/>
                <w:b/>
                <w:sz w:val="18"/>
                <w:szCs w:val="18"/>
              </w:rPr>
              <w:t>Tipologia del/i diritto/i esercitato/i</w:t>
            </w:r>
            <w:r w:rsidR="00F93962" w:rsidRPr="00CC07A9">
              <w:rPr>
                <w:rFonts w:ascii="Trade Gothic LT Std Light" w:hAnsi="Trade Gothic LT Std Light"/>
                <w:b/>
                <w:sz w:val="18"/>
                <w:szCs w:val="18"/>
              </w:rPr>
              <w:t xml:space="preserve"> con la richiesta</w:t>
            </w:r>
          </w:p>
        </w:tc>
        <w:tc>
          <w:tcPr>
            <w:tcW w:w="2551" w:type="dxa"/>
            <w:shd w:val="clear" w:color="auto" w:fill="auto"/>
          </w:tcPr>
          <w:p w14:paraId="117E9217" w14:textId="77777777" w:rsidR="003B3870" w:rsidRPr="00CC07A9" w:rsidRDefault="003B3870" w:rsidP="003B3870">
            <w:pPr>
              <w:pStyle w:val="Nessunaspaziatura"/>
              <w:jc w:val="center"/>
              <w:rPr>
                <w:rFonts w:ascii="Trade Gothic LT Std Light" w:hAnsi="Trade Gothic LT Std Light"/>
                <w:b/>
                <w:sz w:val="18"/>
                <w:szCs w:val="18"/>
              </w:rPr>
            </w:pPr>
          </w:p>
          <w:p w14:paraId="3FB72557" w14:textId="77777777" w:rsidR="005B51D1" w:rsidRPr="00CC07A9" w:rsidRDefault="005B51D1" w:rsidP="00F93962">
            <w:pPr>
              <w:pStyle w:val="Nessunaspaziatura"/>
              <w:jc w:val="center"/>
              <w:rPr>
                <w:rFonts w:ascii="Trade Gothic LT Std Light" w:hAnsi="Trade Gothic LT Std Light"/>
                <w:b/>
                <w:sz w:val="18"/>
                <w:szCs w:val="18"/>
              </w:rPr>
            </w:pPr>
          </w:p>
          <w:p w14:paraId="70206227" w14:textId="77777777" w:rsidR="003B3870" w:rsidRPr="00CC07A9" w:rsidRDefault="003B3870" w:rsidP="00F93962">
            <w:pPr>
              <w:pStyle w:val="Nessunaspaziatura"/>
              <w:jc w:val="center"/>
              <w:rPr>
                <w:rFonts w:ascii="Trade Gothic LT Std Light" w:hAnsi="Trade Gothic LT Std Light"/>
                <w:b/>
                <w:sz w:val="18"/>
                <w:szCs w:val="18"/>
              </w:rPr>
            </w:pPr>
            <w:r w:rsidRPr="00CC07A9">
              <w:rPr>
                <w:rFonts w:ascii="Trade Gothic LT Std Light" w:hAnsi="Trade Gothic LT Std Light"/>
                <w:b/>
                <w:sz w:val="18"/>
                <w:szCs w:val="18"/>
              </w:rPr>
              <w:t xml:space="preserve">Eventuale richiesta di precisazioni e/o </w:t>
            </w:r>
            <w:r w:rsidR="00F93962" w:rsidRPr="00CC07A9">
              <w:rPr>
                <w:rFonts w:ascii="Trade Gothic LT Std Light" w:hAnsi="Trade Gothic LT Std Light"/>
                <w:b/>
                <w:sz w:val="18"/>
                <w:szCs w:val="18"/>
              </w:rPr>
              <w:t>chiarimenti sul contenuto dell’istanza</w:t>
            </w:r>
          </w:p>
        </w:tc>
        <w:tc>
          <w:tcPr>
            <w:tcW w:w="1701" w:type="dxa"/>
            <w:shd w:val="clear" w:color="auto" w:fill="auto"/>
          </w:tcPr>
          <w:p w14:paraId="2562736C" w14:textId="77777777" w:rsidR="003B3870" w:rsidRPr="00CC07A9" w:rsidRDefault="003B3870" w:rsidP="003B3870">
            <w:pPr>
              <w:pStyle w:val="Nessunaspaziatura"/>
              <w:jc w:val="center"/>
              <w:rPr>
                <w:rFonts w:ascii="Trade Gothic LT Std Light" w:hAnsi="Trade Gothic LT Std Light"/>
                <w:b/>
                <w:sz w:val="18"/>
                <w:szCs w:val="18"/>
              </w:rPr>
            </w:pPr>
          </w:p>
          <w:p w14:paraId="4CF2B673" w14:textId="77777777" w:rsidR="003B3870" w:rsidRPr="00CC07A9" w:rsidRDefault="003B3870" w:rsidP="003B3870">
            <w:pPr>
              <w:pStyle w:val="Nessunaspaziatura"/>
              <w:jc w:val="center"/>
              <w:rPr>
                <w:rFonts w:ascii="Trade Gothic LT Std Light" w:hAnsi="Trade Gothic LT Std Light"/>
                <w:b/>
                <w:sz w:val="18"/>
                <w:szCs w:val="18"/>
              </w:rPr>
            </w:pPr>
          </w:p>
          <w:p w14:paraId="164E26CE" w14:textId="77777777" w:rsidR="003B3870" w:rsidRPr="00CC07A9" w:rsidRDefault="003B3870" w:rsidP="003B3870">
            <w:pPr>
              <w:pStyle w:val="Nessunaspaziatura"/>
              <w:jc w:val="center"/>
              <w:rPr>
                <w:rFonts w:ascii="Trade Gothic LT Std Light" w:hAnsi="Trade Gothic LT Std Light"/>
                <w:b/>
                <w:sz w:val="18"/>
                <w:szCs w:val="18"/>
              </w:rPr>
            </w:pPr>
            <w:r w:rsidRPr="00CC07A9">
              <w:rPr>
                <w:rFonts w:ascii="Trade Gothic LT Std Light" w:hAnsi="Trade Gothic LT Std Light"/>
                <w:b/>
                <w:sz w:val="18"/>
                <w:szCs w:val="18"/>
              </w:rPr>
              <w:t>Data di riscontro</w:t>
            </w:r>
            <w:r w:rsidR="00F93962" w:rsidRPr="00CC07A9">
              <w:rPr>
                <w:rFonts w:ascii="Trade Gothic LT Std Light" w:hAnsi="Trade Gothic LT Std Light"/>
                <w:b/>
                <w:sz w:val="18"/>
                <w:szCs w:val="18"/>
              </w:rPr>
              <w:t xml:space="preserve"> al soggetto interessato</w:t>
            </w:r>
          </w:p>
        </w:tc>
        <w:tc>
          <w:tcPr>
            <w:tcW w:w="3402" w:type="dxa"/>
            <w:shd w:val="clear" w:color="auto" w:fill="auto"/>
          </w:tcPr>
          <w:p w14:paraId="4F337C2F" w14:textId="77777777" w:rsidR="003B3870" w:rsidRPr="00CC07A9" w:rsidRDefault="003B3870" w:rsidP="003B3870">
            <w:pPr>
              <w:pStyle w:val="Nessunaspaziatura"/>
              <w:jc w:val="center"/>
              <w:rPr>
                <w:rFonts w:ascii="Trade Gothic LT Std Light" w:hAnsi="Trade Gothic LT Std Light"/>
                <w:b/>
                <w:sz w:val="18"/>
                <w:szCs w:val="18"/>
              </w:rPr>
            </w:pPr>
          </w:p>
          <w:p w14:paraId="052FFEA1" w14:textId="77777777" w:rsidR="005B51D1" w:rsidRPr="00CC07A9" w:rsidRDefault="005B51D1" w:rsidP="003B3870">
            <w:pPr>
              <w:pStyle w:val="Nessunaspaziatura"/>
              <w:jc w:val="center"/>
              <w:rPr>
                <w:rFonts w:ascii="Trade Gothic LT Std Light" w:hAnsi="Trade Gothic LT Std Light"/>
                <w:b/>
                <w:sz w:val="18"/>
                <w:szCs w:val="18"/>
              </w:rPr>
            </w:pPr>
          </w:p>
          <w:p w14:paraId="1D481B04" w14:textId="77777777" w:rsidR="003B3870" w:rsidRPr="00CC07A9" w:rsidRDefault="003B3870" w:rsidP="003B3870">
            <w:pPr>
              <w:pStyle w:val="Nessunaspaziatura"/>
              <w:jc w:val="center"/>
              <w:rPr>
                <w:rFonts w:ascii="Trade Gothic LT Std Light" w:hAnsi="Trade Gothic LT Std Light"/>
                <w:b/>
                <w:sz w:val="18"/>
                <w:szCs w:val="18"/>
              </w:rPr>
            </w:pPr>
            <w:r w:rsidRPr="00CC07A9">
              <w:rPr>
                <w:rFonts w:ascii="Trade Gothic LT Std Light" w:hAnsi="Trade Gothic LT Std Light"/>
                <w:b/>
                <w:sz w:val="18"/>
                <w:szCs w:val="18"/>
              </w:rPr>
              <w:t>Modalità e contenuto del riscontro</w:t>
            </w:r>
            <w:r w:rsidRPr="00CC07A9">
              <w:rPr>
                <w:rStyle w:val="Rimandonotaapidipagina"/>
                <w:rFonts w:ascii="Trade Gothic LT Std Light" w:hAnsi="Trade Gothic LT Std Light"/>
                <w:b/>
                <w:sz w:val="18"/>
                <w:szCs w:val="18"/>
              </w:rPr>
              <w:footnoteReference w:id="2"/>
            </w:r>
            <w:r w:rsidRPr="00CC07A9">
              <w:rPr>
                <w:rFonts w:ascii="Trade Gothic LT Std Light" w:hAnsi="Trade Gothic LT Std Light"/>
                <w:b/>
                <w:sz w:val="18"/>
                <w:szCs w:val="18"/>
              </w:rPr>
              <w:t xml:space="preserve">, ivi inclusi i conseguenti ed </w:t>
            </w:r>
            <w:r w:rsidR="00F93962" w:rsidRPr="00CC07A9">
              <w:rPr>
                <w:rFonts w:ascii="Trade Gothic LT Std Light" w:hAnsi="Trade Gothic LT Std Light"/>
                <w:b/>
                <w:sz w:val="18"/>
                <w:szCs w:val="18"/>
              </w:rPr>
              <w:t>eventuali adempimenti richiesti e necessari</w:t>
            </w:r>
          </w:p>
        </w:tc>
      </w:tr>
      <w:tr w:rsidR="003B3870" w14:paraId="3BA554D7" w14:textId="77777777" w:rsidTr="0009527E">
        <w:tc>
          <w:tcPr>
            <w:tcW w:w="2410" w:type="dxa"/>
          </w:tcPr>
          <w:p w14:paraId="48BF1547"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65A01856"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49D28963"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2CED7541"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2CB813BC"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2CD9D3F6" w14:textId="77777777" w:rsidR="003B3870" w:rsidRDefault="003B3870" w:rsidP="00DB4CBA">
            <w:pPr>
              <w:pStyle w:val="Nessunaspaziatura"/>
              <w:jc w:val="both"/>
              <w:rPr>
                <w:rFonts w:ascii="Trade Gothic LT Std Light" w:hAnsi="Trade Gothic LT Std Light"/>
                <w:sz w:val="18"/>
                <w:szCs w:val="18"/>
              </w:rPr>
            </w:pPr>
          </w:p>
        </w:tc>
      </w:tr>
      <w:tr w:rsidR="003B3870" w14:paraId="376EB33D" w14:textId="77777777" w:rsidTr="0009527E">
        <w:tc>
          <w:tcPr>
            <w:tcW w:w="2410" w:type="dxa"/>
          </w:tcPr>
          <w:p w14:paraId="50B49917"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3B61F128"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376D514A"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77D461D7"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29BA6CC5"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6FEB7830" w14:textId="77777777" w:rsidR="003B3870" w:rsidRDefault="003B3870" w:rsidP="00DB4CBA">
            <w:pPr>
              <w:pStyle w:val="Nessunaspaziatura"/>
              <w:jc w:val="both"/>
              <w:rPr>
                <w:rFonts w:ascii="Trade Gothic LT Std Light" w:hAnsi="Trade Gothic LT Std Light"/>
                <w:sz w:val="18"/>
                <w:szCs w:val="18"/>
              </w:rPr>
            </w:pPr>
          </w:p>
        </w:tc>
      </w:tr>
      <w:tr w:rsidR="003B3870" w14:paraId="05F6E835" w14:textId="77777777" w:rsidTr="0009527E">
        <w:tc>
          <w:tcPr>
            <w:tcW w:w="2410" w:type="dxa"/>
          </w:tcPr>
          <w:p w14:paraId="2CDEF0EB"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7FCD4554"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00E99F2E"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1D8C5E56"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2D0BCCAE"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38B80079" w14:textId="77777777" w:rsidR="003B3870" w:rsidRDefault="003B3870" w:rsidP="00DB4CBA">
            <w:pPr>
              <w:pStyle w:val="Nessunaspaziatura"/>
              <w:jc w:val="both"/>
              <w:rPr>
                <w:rFonts w:ascii="Trade Gothic LT Std Light" w:hAnsi="Trade Gothic LT Std Light"/>
                <w:sz w:val="18"/>
                <w:szCs w:val="18"/>
              </w:rPr>
            </w:pPr>
          </w:p>
        </w:tc>
      </w:tr>
      <w:tr w:rsidR="003B3870" w14:paraId="7D7A1D09" w14:textId="77777777" w:rsidTr="0009527E">
        <w:tc>
          <w:tcPr>
            <w:tcW w:w="2410" w:type="dxa"/>
          </w:tcPr>
          <w:p w14:paraId="6C36E48F"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10EB41B5"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2C4464B1"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56D7AD05"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2B15870A"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73EA4586" w14:textId="77777777" w:rsidR="003B3870" w:rsidRDefault="003B3870" w:rsidP="00DB4CBA">
            <w:pPr>
              <w:pStyle w:val="Nessunaspaziatura"/>
              <w:jc w:val="both"/>
              <w:rPr>
                <w:rFonts w:ascii="Trade Gothic LT Std Light" w:hAnsi="Trade Gothic LT Std Light"/>
                <w:sz w:val="18"/>
                <w:szCs w:val="18"/>
              </w:rPr>
            </w:pPr>
          </w:p>
        </w:tc>
      </w:tr>
      <w:tr w:rsidR="003B3870" w14:paraId="12309ED8" w14:textId="77777777" w:rsidTr="0009527E">
        <w:tc>
          <w:tcPr>
            <w:tcW w:w="2410" w:type="dxa"/>
          </w:tcPr>
          <w:p w14:paraId="50B8F01C"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61E0362A"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718ADAD9"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76FA9EC1"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07A94FEC"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056BC351" w14:textId="77777777" w:rsidR="003B3870" w:rsidRDefault="003B3870" w:rsidP="00DB4CBA">
            <w:pPr>
              <w:pStyle w:val="Nessunaspaziatura"/>
              <w:jc w:val="both"/>
              <w:rPr>
                <w:rFonts w:ascii="Trade Gothic LT Std Light" w:hAnsi="Trade Gothic LT Std Light"/>
                <w:sz w:val="18"/>
                <w:szCs w:val="18"/>
              </w:rPr>
            </w:pPr>
          </w:p>
        </w:tc>
      </w:tr>
      <w:tr w:rsidR="003B3870" w14:paraId="60C9F4CF" w14:textId="77777777" w:rsidTr="0009527E">
        <w:tc>
          <w:tcPr>
            <w:tcW w:w="2410" w:type="dxa"/>
          </w:tcPr>
          <w:p w14:paraId="6E4A8295"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3B807E39"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4B77205B"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3421201F"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75DA0FAA"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4997D4C2" w14:textId="77777777" w:rsidR="003B3870" w:rsidRDefault="003B3870" w:rsidP="00DB4CBA">
            <w:pPr>
              <w:pStyle w:val="Nessunaspaziatura"/>
              <w:jc w:val="both"/>
              <w:rPr>
                <w:rFonts w:ascii="Trade Gothic LT Std Light" w:hAnsi="Trade Gothic LT Std Light"/>
                <w:sz w:val="18"/>
                <w:szCs w:val="18"/>
              </w:rPr>
            </w:pPr>
          </w:p>
        </w:tc>
      </w:tr>
      <w:tr w:rsidR="003B3870" w14:paraId="54D66A70" w14:textId="77777777" w:rsidTr="0009527E">
        <w:tc>
          <w:tcPr>
            <w:tcW w:w="2410" w:type="dxa"/>
          </w:tcPr>
          <w:p w14:paraId="3EC19D57"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24BDDAEA"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2284015A"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3D3491F8"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24D09A62"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71BF596C" w14:textId="77777777" w:rsidR="003B3870" w:rsidRDefault="003B3870" w:rsidP="00DB4CBA">
            <w:pPr>
              <w:pStyle w:val="Nessunaspaziatura"/>
              <w:jc w:val="both"/>
              <w:rPr>
                <w:rFonts w:ascii="Trade Gothic LT Std Light" w:hAnsi="Trade Gothic LT Std Light"/>
                <w:sz w:val="18"/>
                <w:szCs w:val="18"/>
              </w:rPr>
            </w:pPr>
          </w:p>
        </w:tc>
      </w:tr>
      <w:tr w:rsidR="003B3870" w14:paraId="6C2B1625" w14:textId="77777777" w:rsidTr="0009527E">
        <w:tc>
          <w:tcPr>
            <w:tcW w:w="2410" w:type="dxa"/>
          </w:tcPr>
          <w:p w14:paraId="40BE1B3C"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5827B0C0"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05B49B6E"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7CBB9117"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42BA2028"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797081A8" w14:textId="77777777" w:rsidR="003B3870" w:rsidRDefault="003B3870" w:rsidP="00DB4CBA">
            <w:pPr>
              <w:pStyle w:val="Nessunaspaziatura"/>
              <w:jc w:val="both"/>
              <w:rPr>
                <w:rFonts w:ascii="Trade Gothic LT Std Light" w:hAnsi="Trade Gothic LT Std Light"/>
                <w:sz w:val="18"/>
                <w:szCs w:val="18"/>
              </w:rPr>
            </w:pPr>
          </w:p>
        </w:tc>
      </w:tr>
      <w:tr w:rsidR="003B3870" w14:paraId="18ECB252" w14:textId="77777777" w:rsidTr="0009527E">
        <w:tc>
          <w:tcPr>
            <w:tcW w:w="2410" w:type="dxa"/>
          </w:tcPr>
          <w:p w14:paraId="4BFD7D0E"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56B3666A"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3B6CD2AA"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58DA9BA6"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55920B9E"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5ED47DD8" w14:textId="77777777" w:rsidR="003B3870" w:rsidRDefault="003B3870" w:rsidP="00DB4CBA">
            <w:pPr>
              <w:pStyle w:val="Nessunaspaziatura"/>
              <w:jc w:val="both"/>
              <w:rPr>
                <w:rFonts w:ascii="Trade Gothic LT Std Light" w:hAnsi="Trade Gothic LT Std Light"/>
                <w:sz w:val="18"/>
                <w:szCs w:val="18"/>
              </w:rPr>
            </w:pPr>
          </w:p>
        </w:tc>
      </w:tr>
      <w:tr w:rsidR="003B3870" w14:paraId="48871F6E" w14:textId="77777777" w:rsidTr="0009527E">
        <w:tc>
          <w:tcPr>
            <w:tcW w:w="2410" w:type="dxa"/>
          </w:tcPr>
          <w:p w14:paraId="4B81A804"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48176C15"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459A382C"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4869C1F5"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1C42A2E8"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43705C06" w14:textId="77777777" w:rsidR="003B3870" w:rsidRDefault="003B3870" w:rsidP="00DB4CBA">
            <w:pPr>
              <w:pStyle w:val="Nessunaspaziatura"/>
              <w:jc w:val="both"/>
              <w:rPr>
                <w:rFonts w:ascii="Trade Gothic LT Std Light" w:hAnsi="Trade Gothic LT Std Light"/>
                <w:sz w:val="18"/>
                <w:szCs w:val="18"/>
              </w:rPr>
            </w:pPr>
          </w:p>
        </w:tc>
      </w:tr>
      <w:tr w:rsidR="003B3870" w14:paraId="055707FD" w14:textId="77777777" w:rsidTr="0009527E">
        <w:tc>
          <w:tcPr>
            <w:tcW w:w="2410" w:type="dxa"/>
          </w:tcPr>
          <w:p w14:paraId="02CDA338" w14:textId="77777777" w:rsidR="003B3870" w:rsidRDefault="003B3870" w:rsidP="00DB4CBA">
            <w:pPr>
              <w:pStyle w:val="Nessunaspaziatura"/>
              <w:jc w:val="both"/>
              <w:rPr>
                <w:rFonts w:ascii="Trade Gothic LT Std Light" w:hAnsi="Trade Gothic LT Std Light"/>
                <w:sz w:val="18"/>
                <w:szCs w:val="18"/>
              </w:rPr>
            </w:pPr>
          </w:p>
        </w:tc>
        <w:tc>
          <w:tcPr>
            <w:tcW w:w="1985" w:type="dxa"/>
          </w:tcPr>
          <w:p w14:paraId="25FB502C" w14:textId="77777777" w:rsidR="003B3870" w:rsidRDefault="003B3870" w:rsidP="00DB4CBA">
            <w:pPr>
              <w:pStyle w:val="Nessunaspaziatura"/>
              <w:jc w:val="both"/>
              <w:rPr>
                <w:rFonts w:ascii="Trade Gothic LT Std Light" w:hAnsi="Trade Gothic LT Std Light"/>
                <w:sz w:val="18"/>
                <w:szCs w:val="18"/>
              </w:rPr>
            </w:pPr>
          </w:p>
        </w:tc>
        <w:tc>
          <w:tcPr>
            <w:tcW w:w="2268" w:type="dxa"/>
          </w:tcPr>
          <w:p w14:paraId="353F5DA3" w14:textId="77777777" w:rsidR="003B3870" w:rsidRDefault="003B3870" w:rsidP="00DB4CBA">
            <w:pPr>
              <w:pStyle w:val="Nessunaspaziatura"/>
              <w:jc w:val="both"/>
              <w:rPr>
                <w:rFonts w:ascii="Trade Gothic LT Std Light" w:hAnsi="Trade Gothic LT Std Light"/>
                <w:sz w:val="18"/>
                <w:szCs w:val="18"/>
              </w:rPr>
            </w:pPr>
          </w:p>
        </w:tc>
        <w:tc>
          <w:tcPr>
            <w:tcW w:w="2551" w:type="dxa"/>
          </w:tcPr>
          <w:p w14:paraId="5AF802CA" w14:textId="77777777" w:rsidR="003B3870" w:rsidRDefault="003B3870" w:rsidP="00DB4CBA">
            <w:pPr>
              <w:pStyle w:val="Nessunaspaziatura"/>
              <w:jc w:val="both"/>
              <w:rPr>
                <w:rFonts w:ascii="Trade Gothic LT Std Light" w:hAnsi="Trade Gothic LT Std Light"/>
                <w:sz w:val="18"/>
                <w:szCs w:val="18"/>
              </w:rPr>
            </w:pPr>
          </w:p>
        </w:tc>
        <w:tc>
          <w:tcPr>
            <w:tcW w:w="1701" w:type="dxa"/>
          </w:tcPr>
          <w:p w14:paraId="778FF1A5" w14:textId="77777777" w:rsidR="003B3870" w:rsidRDefault="003B3870" w:rsidP="00DB4CBA">
            <w:pPr>
              <w:pStyle w:val="Nessunaspaziatura"/>
              <w:jc w:val="both"/>
              <w:rPr>
                <w:rFonts w:ascii="Trade Gothic LT Std Light" w:hAnsi="Trade Gothic LT Std Light"/>
                <w:sz w:val="18"/>
                <w:szCs w:val="18"/>
              </w:rPr>
            </w:pPr>
          </w:p>
        </w:tc>
        <w:tc>
          <w:tcPr>
            <w:tcW w:w="3402" w:type="dxa"/>
          </w:tcPr>
          <w:p w14:paraId="68364737" w14:textId="77777777" w:rsidR="003B3870" w:rsidRDefault="003B3870" w:rsidP="00DB4CBA">
            <w:pPr>
              <w:pStyle w:val="Nessunaspaziatura"/>
              <w:jc w:val="both"/>
              <w:rPr>
                <w:rFonts w:ascii="Trade Gothic LT Std Light" w:hAnsi="Trade Gothic LT Std Light"/>
                <w:sz w:val="18"/>
                <w:szCs w:val="18"/>
              </w:rPr>
            </w:pPr>
          </w:p>
        </w:tc>
      </w:tr>
      <w:tr w:rsidR="00CC6004" w14:paraId="301E7C05" w14:textId="77777777" w:rsidTr="0009527E">
        <w:tc>
          <w:tcPr>
            <w:tcW w:w="2410" w:type="dxa"/>
          </w:tcPr>
          <w:p w14:paraId="56D82CA7" w14:textId="77777777" w:rsidR="00CC6004" w:rsidRDefault="00CC6004" w:rsidP="00DB4CBA">
            <w:pPr>
              <w:pStyle w:val="Nessunaspaziatura"/>
              <w:jc w:val="both"/>
              <w:rPr>
                <w:rFonts w:ascii="Trade Gothic LT Std Light" w:hAnsi="Trade Gothic LT Std Light"/>
                <w:sz w:val="18"/>
                <w:szCs w:val="18"/>
              </w:rPr>
            </w:pPr>
          </w:p>
        </w:tc>
        <w:tc>
          <w:tcPr>
            <w:tcW w:w="1985" w:type="dxa"/>
          </w:tcPr>
          <w:p w14:paraId="3E35F802" w14:textId="77777777" w:rsidR="00CC6004" w:rsidRDefault="00CC6004" w:rsidP="00DB4CBA">
            <w:pPr>
              <w:pStyle w:val="Nessunaspaziatura"/>
              <w:jc w:val="both"/>
              <w:rPr>
                <w:rFonts w:ascii="Trade Gothic LT Std Light" w:hAnsi="Trade Gothic LT Std Light"/>
                <w:sz w:val="18"/>
                <w:szCs w:val="18"/>
              </w:rPr>
            </w:pPr>
          </w:p>
        </w:tc>
        <w:tc>
          <w:tcPr>
            <w:tcW w:w="2268" w:type="dxa"/>
          </w:tcPr>
          <w:p w14:paraId="37782970" w14:textId="77777777" w:rsidR="00CC6004" w:rsidRDefault="00CC6004" w:rsidP="00DB4CBA">
            <w:pPr>
              <w:pStyle w:val="Nessunaspaziatura"/>
              <w:jc w:val="both"/>
              <w:rPr>
                <w:rFonts w:ascii="Trade Gothic LT Std Light" w:hAnsi="Trade Gothic LT Std Light"/>
                <w:sz w:val="18"/>
                <w:szCs w:val="18"/>
              </w:rPr>
            </w:pPr>
          </w:p>
        </w:tc>
        <w:tc>
          <w:tcPr>
            <w:tcW w:w="2551" w:type="dxa"/>
          </w:tcPr>
          <w:p w14:paraId="17DA76D2" w14:textId="77777777" w:rsidR="00CC6004" w:rsidRDefault="00CC6004" w:rsidP="00DB4CBA">
            <w:pPr>
              <w:pStyle w:val="Nessunaspaziatura"/>
              <w:jc w:val="both"/>
              <w:rPr>
                <w:rFonts w:ascii="Trade Gothic LT Std Light" w:hAnsi="Trade Gothic LT Std Light"/>
                <w:sz w:val="18"/>
                <w:szCs w:val="18"/>
              </w:rPr>
            </w:pPr>
          </w:p>
        </w:tc>
        <w:tc>
          <w:tcPr>
            <w:tcW w:w="1701" w:type="dxa"/>
          </w:tcPr>
          <w:p w14:paraId="330D148E" w14:textId="77777777" w:rsidR="00CC6004" w:rsidRDefault="00CC6004" w:rsidP="00DB4CBA">
            <w:pPr>
              <w:pStyle w:val="Nessunaspaziatura"/>
              <w:jc w:val="both"/>
              <w:rPr>
                <w:rFonts w:ascii="Trade Gothic LT Std Light" w:hAnsi="Trade Gothic LT Std Light"/>
                <w:sz w:val="18"/>
                <w:szCs w:val="18"/>
              </w:rPr>
            </w:pPr>
          </w:p>
        </w:tc>
        <w:tc>
          <w:tcPr>
            <w:tcW w:w="3402" w:type="dxa"/>
          </w:tcPr>
          <w:p w14:paraId="17DA6341" w14:textId="77777777" w:rsidR="00CC6004" w:rsidRDefault="00CC6004" w:rsidP="00DB4CBA">
            <w:pPr>
              <w:pStyle w:val="Nessunaspaziatura"/>
              <w:jc w:val="both"/>
              <w:rPr>
                <w:rFonts w:ascii="Trade Gothic LT Std Light" w:hAnsi="Trade Gothic LT Std Light"/>
                <w:sz w:val="18"/>
                <w:szCs w:val="18"/>
              </w:rPr>
            </w:pPr>
          </w:p>
        </w:tc>
      </w:tr>
    </w:tbl>
    <w:p w14:paraId="76DA23D0" w14:textId="722C40DF" w:rsidR="00CD510B" w:rsidRDefault="00CD510B" w:rsidP="00DB4CBA">
      <w:pPr>
        <w:pStyle w:val="Nessunaspaziatura"/>
        <w:jc w:val="both"/>
        <w:rPr>
          <w:rFonts w:ascii="Trade Gothic LT Std Light" w:hAnsi="Trade Gothic LT Std Light"/>
          <w:sz w:val="18"/>
          <w:szCs w:val="18"/>
        </w:rPr>
      </w:pPr>
    </w:p>
    <w:p w14:paraId="3B20F99A" w14:textId="77777777" w:rsidR="002C0759" w:rsidRPr="002D139E" w:rsidRDefault="002C0759" w:rsidP="002C0759">
      <w:pPr>
        <w:spacing w:after="0" w:line="240" w:lineRule="auto"/>
        <w:jc w:val="both"/>
        <w:rPr>
          <w:rFonts w:ascii="Trade Gothic LT Std Light" w:eastAsiaTheme="minorEastAsia" w:hAnsi="Trade Gothic LT Std Light" w:cs="Times New Roman"/>
          <w:sz w:val="18"/>
          <w:szCs w:val="18"/>
          <w:lang w:eastAsia="zh-TW"/>
        </w:rPr>
      </w:pPr>
      <w:r w:rsidRPr="002D139E">
        <w:rPr>
          <w:rFonts w:ascii="Trade Gothic LT Std Light" w:eastAsiaTheme="minorEastAsia" w:hAnsi="Trade Gothic LT Std Light" w:cs="Times New Roman"/>
          <w:sz w:val="18"/>
          <w:szCs w:val="18"/>
          <w:lang w:eastAsia="zh-TW"/>
        </w:rPr>
        <w:lastRenderedPageBreak/>
        <w:t>Roccaforte Mondovì, lì 22.5.2024 (data di ultimo aggiornamento).</w:t>
      </w:r>
    </w:p>
    <w:p w14:paraId="7B14554B" w14:textId="77777777" w:rsidR="002C0759" w:rsidRPr="002D139E" w:rsidRDefault="002C0759" w:rsidP="002C0759">
      <w:pPr>
        <w:spacing w:after="0" w:line="240" w:lineRule="auto"/>
        <w:jc w:val="both"/>
        <w:rPr>
          <w:rFonts w:ascii="Trade Gothic LT Std Light" w:eastAsiaTheme="minorEastAsia" w:hAnsi="Trade Gothic LT Std Light" w:cs="Times New Roman"/>
          <w:sz w:val="18"/>
          <w:szCs w:val="18"/>
          <w:lang w:eastAsia="zh-TW"/>
        </w:rPr>
      </w:pPr>
    </w:p>
    <w:p w14:paraId="561921F8" w14:textId="77777777" w:rsidR="002C0759" w:rsidRPr="002D139E" w:rsidRDefault="002C0759" w:rsidP="002C0759">
      <w:pPr>
        <w:spacing w:after="0" w:line="240" w:lineRule="auto"/>
        <w:jc w:val="both"/>
        <w:rPr>
          <w:rFonts w:ascii="Trade Gothic LT Std Light" w:eastAsiaTheme="minorEastAsia" w:hAnsi="Trade Gothic LT Std Light" w:cs="Times New Roman"/>
          <w:b/>
          <w:bCs/>
          <w:sz w:val="18"/>
          <w:szCs w:val="18"/>
          <w:lang w:eastAsia="zh-TW"/>
        </w:rPr>
      </w:pPr>
      <w:r w:rsidRPr="002D139E">
        <w:rPr>
          <w:rFonts w:ascii="Trade Gothic LT Std Light" w:hAnsi="Trade Gothic LT Std Light"/>
          <w:b/>
          <w:bCs/>
          <w:sz w:val="18"/>
          <w:szCs w:val="18"/>
        </w:rPr>
        <w:t>COMUNE DI ROCCAFORTE MONDOVI’</w:t>
      </w:r>
    </w:p>
    <w:p w14:paraId="1D390D86" w14:textId="77777777" w:rsidR="002C0759" w:rsidRPr="002D139E" w:rsidRDefault="002C0759" w:rsidP="002C0759">
      <w:pPr>
        <w:spacing w:after="0" w:line="240" w:lineRule="auto"/>
        <w:jc w:val="both"/>
        <w:rPr>
          <w:rFonts w:ascii="Trade Gothic LT Std Light" w:eastAsiaTheme="minorEastAsia" w:hAnsi="Trade Gothic LT Std Light" w:cs="Times New Roman"/>
          <w:sz w:val="18"/>
          <w:szCs w:val="18"/>
          <w:lang w:eastAsia="zh-TW"/>
        </w:rPr>
      </w:pPr>
      <w:r w:rsidRPr="002D139E">
        <w:rPr>
          <w:rFonts w:ascii="Trade Gothic LT Std Light" w:eastAsiaTheme="minorEastAsia" w:hAnsi="Trade Gothic LT Std Light" w:cs="Times New Roman"/>
          <w:sz w:val="18"/>
          <w:szCs w:val="18"/>
          <w:lang w:eastAsia="zh-TW"/>
        </w:rPr>
        <w:t>(in persona del suo legale rappresentante pro tempore)</w:t>
      </w:r>
    </w:p>
    <w:p w14:paraId="6A881405" w14:textId="77777777" w:rsidR="0009527E" w:rsidRPr="0009527E" w:rsidRDefault="0009527E" w:rsidP="0009527E">
      <w:pPr>
        <w:pStyle w:val="Nessunaspaziatura"/>
        <w:jc w:val="both"/>
        <w:rPr>
          <w:rFonts w:ascii="Trade Gothic LT Std Light" w:hAnsi="Trade Gothic LT Std Light"/>
          <w:sz w:val="18"/>
          <w:szCs w:val="18"/>
        </w:rPr>
      </w:pPr>
    </w:p>
    <w:sectPr w:rsidR="0009527E" w:rsidRPr="0009527E" w:rsidSect="009C54CB">
      <w:footerReference w:type="default" r:id="rId7"/>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F99DD" w14:textId="77777777" w:rsidR="00AF28BB" w:rsidRDefault="00AF28BB" w:rsidP="00DB4CBA">
      <w:pPr>
        <w:spacing w:after="0" w:line="240" w:lineRule="auto"/>
      </w:pPr>
      <w:r>
        <w:separator/>
      </w:r>
    </w:p>
  </w:endnote>
  <w:endnote w:type="continuationSeparator" w:id="0">
    <w:p w14:paraId="1FC90C36" w14:textId="77777777" w:rsidR="00AF28BB" w:rsidRDefault="00AF28BB" w:rsidP="00DB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432376"/>
      <w:docPartObj>
        <w:docPartGallery w:val="Page Numbers (Bottom of Page)"/>
        <w:docPartUnique/>
      </w:docPartObj>
    </w:sdtPr>
    <w:sdtContent>
      <w:p w14:paraId="7D132207" w14:textId="77777777" w:rsidR="00DF2B93" w:rsidRDefault="00DF2B93">
        <w:pPr>
          <w:pStyle w:val="Pidipagina"/>
          <w:jc w:val="center"/>
        </w:pPr>
        <w:r>
          <w:fldChar w:fldCharType="begin"/>
        </w:r>
        <w:r>
          <w:instrText>PAGE   \* MERGEFORMAT</w:instrText>
        </w:r>
        <w:r>
          <w:fldChar w:fldCharType="separate"/>
        </w:r>
        <w:r w:rsidR="00CF12FB">
          <w:rPr>
            <w:noProof/>
          </w:rPr>
          <w:t>1</w:t>
        </w:r>
        <w:r>
          <w:fldChar w:fldCharType="end"/>
        </w:r>
      </w:p>
    </w:sdtContent>
  </w:sdt>
  <w:p w14:paraId="620D6505" w14:textId="77777777" w:rsidR="00DF2B93" w:rsidRDefault="00DF2B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4E13E" w14:textId="77777777" w:rsidR="00AF28BB" w:rsidRDefault="00AF28BB" w:rsidP="00DB4CBA">
      <w:pPr>
        <w:spacing w:after="0" w:line="240" w:lineRule="auto"/>
      </w:pPr>
      <w:r>
        <w:separator/>
      </w:r>
    </w:p>
  </w:footnote>
  <w:footnote w:type="continuationSeparator" w:id="0">
    <w:p w14:paraId="35502032" w14:textId="77777777" w:rsidR="00AF28BB" w:rsidRDefault="00AF28BB" w:rsidP="00DB4CBA">
      <w:pPr>
        <w:spacing w:after="0" w:line="240" w:lineRule="auto"/>
      </w:pPr>
      <w:r>
        <w:continuationSeparator/>
      </w:r>
    </w:p>
  </w:footnote>
  <w:footnote w:id="1">
    <w:p w14:paraId="104740AC" w14:textId="4364B959" w:rsidR="00423155" w:rsidRPr="00AA0F86" w:rsidRDefault="00423155" w:rsidP="00AA0F86">
      <w:pPr>
        <w:pStyle w:val="Testonotaapidipagina"/>
        <w:jc w:val="both"/>
        <w:rPr>
          <w:rFonts w:ascii="Trade Gothic LT Std Light" w:hAnsi="Trade Gothic LT Std Light"/>
          <w:sz w:val="16"/>
          <w:szCs w:val="16"/>
        </w:rPr>
      </w:pPr>
      <w:r w:rsidRPr="00AA0F86">
        <w:rPr>
          <w:rStyle w:val="Rimandonotaapidipagina"/>
          <w:rFonts w:ascii="Trade Gothic LT Std Light" w:hAnsi="Trade Gothic LT Std Light"/>
          <w:sz w:val="16"/>
          <w:szCs w:val="16"/>
        </w:rPr>
        <w:footnoteRef/>
      </w:r>
      <w:r w:rsidRPr="00AA0F86">
        <w:rPr>
          <w:rFonts w:ascii="Trade Gothic LT Std Light" w:hAnsi="Trade Gothic LT Std Light"/>
          <w:sz w:val="16"/>
          <w:szCs w:val="16"/>
        </w:rPr>
        <w:t xml:space="preserve"> Art. 12 del GDPR: “1. Il titolare del trattamento adotta misure appropriate per fornire all’interessato tutte le informazioni di cui agli articoli 13 e 14 e le comunicazioni di cui agli articoli da 15 a 22 e all’articolo 34 relative al trattamento in forma concisa, trasparente, intellegibile e facilmente accessibile, con un linguaggio semplice e chiaro, in particolare nel caso di informazioni destinate specificamente ai minori. Le informazioni sono fornite per iscritto o con altri mezzi, anche, se del caso, con mezzi elettronici. Se richiesto dall’interessato, le informazioni possono essere fornite oralmente, purché sia comprovata con altri mezzi l’identità dell’interessato. 2. Il titolare del trattamento agevola l’esercizio dei diritti dell’interessato ai sensi degli articoli da 15 a 22. Nei casi di cui all’articolo 11, paragrafo 2, il titolare del trattamento non può rifiutare di soddisfare la richiesta dell’interessato al fine di esercitare i suoi diritti ai sensi degli articoli da 15 a 22, salvo che il titolare del trattamento dimostri che non è in grado di identificare l’interessato. 3. Il titolare del trattamento fornisce all’interessato le informazioni relative all’azione intrapresa riguardo a una richiesta ai sensi degli articoli da 15 a 22 senza ingiustificato ritardo e, comunque, al più tardi entro un mese dal ricevimento della richiesta stessa. Tale termine può essere prorogato di due mesi, se necessario, tenuto conto della complessità e del numero </w:t>
      </w:r>
      <w:r w:rsidR="001F4C7B" w:rsidRPr="00AA0F86">
        <w:rPr>
          <w:rFonts w:ascii="Trade Gothic LT Std Light" w:hAnsi="Trade Gothic LT Std Light"/>
          <w:sz w:val="16"/>
          <w:szCs w:val="16"/>
        </w:rPr>
        <w:t>della richiesta</w:t>
      </w:r>
      <w:r w:rsidRPr="00AA0F86">
        <w:rPr>
          <w:rFonts w:ascii="Trade Gothic LT Std Light" w:hAnsi="Trade Gothic LT Std Light"/>
          <w:sz w:val="16"/>
          <w:szCs w:val="16"/>
        </w:rPr>
        <w:t xml:space="preserve">.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 4. Se non ottempera alla richiesta dell’interessato, il titolare del trattamento informa l’interessato senza ritardo, al più tardi entro un mese dal ricevimento della richiesta, dei motivi dell’inottemperanza e della possibilità di proporre reclamo a un’autorità di controllo e di proporre ricorso giurisdizionale. 5. Le informazioni fornite ai sensi degli articoli 13 e 14 ed eventuali comunicazioni e azioni intraprese ai sensi degli articoli da 15 a 22 e dell’articolo 34 sono gratuite. Se le richieste dell’interessato sono manifestamente infondate o eccessive, in particolare per il loro carattere ripetitivo, il titolare del trattamento può: a) addebitare un contributo spese ragionevole tenendo conto dei costi amministrativi sostenuti per fornire le informazioni o la comunicazione o intraprendere l’azione richiesta; oppure b) rifiutare di soddisfare la richiesta. Incombe al titolare del trattamento l’onere di dimostrare il carattere manifestamente infondato o eccessivo della richiesta. 6. Fatto salvo l’articolo 11, qualora il titolare del trattamento nutra ragionevoli dubbi circa l’identità della persona fisica che presenta la richiesta di cui agli articoli da 15 a 21, può richiedere ulteriori informazioni necessarie per confermare l’identità dell’interessato. 7. Le informazioni da fornire agli interessati a norma degli articoli 13 e 14 possono essere fornite in combinazione con icone standardizzate per dare, in modo facilmente visibile, </w:t>
      </w:r>
      <w:r w:rsidR="00AA0F86" w:rsidRPr="00AA0F86">
        <w:rPr>
          <w:rFonts w:ascii="Trade Gothic LT Std Light" w:hAnsi="Trade Gothic LT Std Light"/>
          <w:sz w:val="16"/>
          <w:szCs w:val="16"/>
        </w:rPr>
        <w:t xml:space="preserve">intellegibile e chiaramente leggibile, un quadro d’insieme del trattamento previsto. Se presentate elettronicamente, le icone sono leggibili da dispositivo automatico…”. </w:t>
      </w:r>
    </w:p>
  </w:footnote>
  <w:footnote w:id="2">
    <w:p w14:paraId="1888B026" w14:textId="77777777" w:rsidR="003B3870" w:rsidRPr="003B3870" w:rsidRDefault="003B3870" w:rsidP="003B3870">
      <w:pPr>
        <w:pStyle w:val="Testonotaapidipagina"/>
        <w:jc w:val="both"/>
        <w:rPr>
          <w:rFonts w:ascii="Trade Gothic LT Std Light" w:hAnsi="Trade Gothic LT Std Light"/>
          <w:sz w:val="16"/>
          <w:szCs w:val="16"/>
        </w:rPr>
      </w:pPr>
      <w:r w:rsidRPr="003B3870">
        <w:rPr>
          <w:rStyle w:val="Rimandonotaapidipagina"/>
          <w:rFonts w:ascii="Trade Gothic LT Std Light" w:hAnsi="Trade Gothic LT Std Light"/>
          <w:sz w:val="16"/>
          <w:szCs w:val="16"/>
        </w:rPr>
        <w:footnoteRef/>
      </w:r>
      <w:r w:rsidRPr="003B3870">
        <w:rPr>
          <w:rFonts w:ascii="Trade Gothic LT Std Light" w:hAnsi="Trade Gothic LT Std Light"/>
          <w:sz w:val="16"/>
          <w:szCs w:val="16"/>
        </w:rPr>
        <w:t xml:space="preserve"> Il riscontro può essere parziale o definitivo, a seconda dell’eventuale richiesta di ulteriori chiarimenti avanzata dall’interessato (poi da documentare in modo preciso, dettagliato e compiuto).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FAA"/>
    <w:rsid w:val="0009527E"/>
    <w:rsid w:val="000C45D6"/>
    <w:rsid w:val="00110C6F"/>
    <w:rsid w:val="001B1441"/>
    <w:rsid w:val="001F4C7B"/>
    <w:rsid w:val="002219F9"/>
    <w:rsid w:val="0026168C"/>
    <w:rsid w:val="002C0759"/>
    <w:rsid w:val="003220F9"/>
    <w:rsid w:val="00323124"/>
    <w:rsid w:val="003B3870"/>
    <w:rsid w:val="003D5AD3"/>
    <w:rsid w:val="00423155"/>
    <w:rsid w:val="00461086"/>
    <w:rsid w:val="00516121"/>
    <w:rsid w:val="00550474"/>
    <w:rsid w:val="005A2C3D"/>
    <w:rsid w:val="005B51D1"/>
    <w:rsid w:val="006A6EFA"/>
    <w:rsid w:val="00703639"/>
    <w:rsid w:val="0072350D"/>
    <w:rsid w:val="007437E5"/>
    <w:rsid w:val="00774B69"/>
    <w:rsid w:val="007B1193"/>
    <w:rsid w:val="007B79F6"/>
    <w:rsid w:val="008B6500"/>
    <w:rsid w:val="009308B9"/>
    <w:rsid w:val="009C54CB"/>
    <w:rsid w:val="00A855A4"/>
    <w:rsid w:val="00A86FEB"/>
    <w:rsid w:val="00A96FAA"/>
    <w:rsid w:val="00AA0F86"/>
    <w:rsid w:val="00AB5460"/>
    <w:rsid w:val="00AE48F7"/>
    <w:rsid w:val="00AF28BB"/>
    <w:rsid w:val="00B25336"/>
    <w:rsid w:val="00CC07A9"/>
    <w:rsid w:val="00CC185D"/>
    <w:rsid w:val="00CC6004"/>
    <w:rsid w:val="00CD510B"/>
    <w:rsid w:val="00CF12FB"/>
    <w:rsid w:val="00D05F36"/>
    <w:rsid w:val="00DA7BC3"/>
    <w:rsid w:val="00DB4CBA"/>
    <w:rsid w:val="00DD6F13"/>
    <w:rsid w:val="00DF2B93"/>
    <w:rsid w:val="00E05CB0"/>
    <w:rsid w:val="00ED38C6"/>
    <w:rsid w:val="00F93962"/>
    <w:rsid w:val="00FE2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02D8"/>
  <w15:docId w15:val="{2469640A-58CA-4E4C-99CE-6DDF02E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B4CB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4CBA"/>
    <w:rPr>
      <w:sz w:val="20"/>
      <w:szCs w:val="20"/>
    </w:rPr>
  </w:style>
  <w:style w:type="paragraph" w:styleId="Nessunaspaziatura">
    <w:name w:val="No Spacing"/>
    <w:uiPriority w:val="1"/>
    <w:qFormat/>
    <w:rsid w:val="00DB4CBA"/>
    <w:pPr>
      <w:spacing w:after="0" w:line="240" w:lineRule="auto"/>
    </w:pPr>
  </w:style>
  <w:style w:type="character" w:styleId="Rimandonotaapidipagina">
    <w:name w:val="footnote reference"/>
    <w:basedOn w:val="Carpredefinitoparagrafo"/>
    <w:uiPriority w:val="99"/>
    <w:semiHidden/>
    <w:unhideWhenUsed/>
    <w:rsid w:val="00DB4CBA"/>
    <w:rPr>
      <w:vertAlign w:val="superscript"/>
    </w:rPr>
  </w:style>
  <w:style w:type="table" w:styleId="Grigliatabella">
    <w:name w:val="Table Grid"/>
    <w:basedOn w:val="Tabellanormale"/>
    <w:uiPriority w:val="59"/>
    <w:rsid w:val="003B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F2B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2B93"/>
  </w:style>
  <w:style w:type="paragraph" w:styleId="Pidipagina">
    <w:name w:val="footer"/>
    <w:basedOn w:val="Normale"/>
    <w:link w:val="PidipaginaCarattere"/>
    <w:uiPriority w:val="99"/>
    <w:unhideWhenUsed/>
    <w:rsid w:val="00DF2B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ECF9-F5E8-4553-AAD9-D7FB36CF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197</Words>
  <Characters>1124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27</cp:revision>
  <dcterms:created xsi:type="dcterms:W3CDTF">2021-07-08T14:58:00Z</dcterms:created>
  <dcterms:modified xsi:type="dcterms:W3CDTF">2024-05-22T15:27:00Z</dcterms:modified>
</cp:coreProperties>
</file>